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18949203"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bookmarkStart w:id="0" w:name="_GoBack"/>
      <w:r w:rsidR="006A2FE9" w:rsidRPr="006A2FE9">
        <w:rPr>
          <w:b/>
          <w:i/>
          <w:noProof/>
          <w:sz w:val="24"/>
          <w:szCs w:val="24"/>
        </w:rPr>
        <w:t>R2-2011198</w:t>
      </w:r>
      <w:bookmarkEnd w:id="0"/>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5CB0A238" w:rsidR="001E41F3" w:rsidRPr="00410371" w:rsidRDefault="00634496" w:rsidP="00E13F3D">
            <w:pPr>
              <w:pStyle w:val="CRCoverPage"/>
              <w:spacing w:after="0"/>
              <w:jc w:val="right"/>
              <w:rPr>
                <w:b/>
                <w:noProof/>
                <w:sz w:val="28"/>
              </w:rPr>
            </w:pPr>
            <w:r>
              <w:rPr>
                <w:b/>
                <w:noProof/>
                <w:sz w:val="28"/>
              </w:rPr>
              <w:t>37.340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0D245AC" w:rsidR="001E41F3" w:rsidRPr="00390E06" w:rsidRDefault="006A2FE9" w:rsidP="006A2FE9">
            <w:pPr>
              <w:pStyle w:val="CRCoverPage"/>
              <w:spacing w:after="0"/>
              <w:jc w:val="center"/>
              <w:rPr>
                <w:noProof/>
                <w:highlight w:val="yellow"/>
              </w:rPr>
            </w:pPr>
            <w:r w:rsidRPr="006A2FE9">
              <w:rPr>
                <w:b/>
                <w:noProof/>
                <w:sz w:val="28"/>
              </w:rPr>
              <w:t>0238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3F634C3" w:rsidR="001E41F3" w:rsidRPr="00410371" w:rsidRDefault="00334F3C">
            <w:pPr>
              <w:pStyle w:val="CRCoverPage"/>
              <w:spacing w:after="0"/>
              <w:jc w:val="center"/>
              <w:rPr>
                <w:noProof/>
                <w:sz w:val="28"/>
              </w:rPr>
            </w:pPr>
            <w:r>
              <w:rPr>
                <w:b/>
                <w:noProof/>
                <w:sz w:val="28"/>
              </w:rPr>
              <w:t>1</w:t>
            </w:r>
            <w:r w:rsidR="00D34D8D">
              <w:rPr>
                <w:b/>
                <w:noProof/>
                <w:sz w:val="28"/>
              </w:rPr>
              <w:t>6</w:t>
            </w:r>
            <w:r>
              <w:rPr>
                <w:b/>
                <w:noProof/>
                <w:sz w:val="28"/>
              </w:rPr>
              <w:t>.</w:t>
            </w:r>
            <w:r w:rsidR="00634496">
              <w:rPr>
                <w:b/>
                <w:noProof/>
                <w:sz w:val="28"/>
              </w:rPr>
              <w:t>3</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802DCB2" w:rsidR="004A6B07" w:rsidRDefault="00634496" w:rsidP="004A6B07">
            <w:pPr>
              <w:pStyle w:val="CRCoverPage"/>
              <w:spacing w:after="0"/>
              <w:ind w:left="100"/>
              <w:rPr>
                <w:noProof/>
              </w:rPr>
            </w:pPr>
            <w:r w:rsidRPr="00634496">
              <w:rPr>
                <w:noProof/>
              </w:rPr>
              <w:t>Clarification for secondary DRX</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6AC9799E" w:rsidR="004A6B07" w:rsidRPr="00634496" w:rsidRDefault="00634496" w:rsidP="004A6B07">
            <w:pPr>
              <w:pStyle w:val="CRCoverPage"/>
              <w:spacing w:after="0"/>
              <w:ind w:left="100"/>
              <w:rPr>
                <w:noProof/>
              </w:rPr>
            </w:pPr>
            <w:r>
              <w:t>TEI16</w:t>
            </w:r>
          </w:p>
        </w:tc>
        <w:tc>
          <w:tcPr>
            <w:tcW w:w="567" w:type="dxa"/>
            <w:tcBorders>
              <w:left w:val="nil"/>
            </w:tcBorders>
          </w:tcPr>
          <w:p w14:paraId="7539E4A0" w14:textId="77777777" w:rsidR="004A6B07" w:rsidRPr="00634496"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634496" w:rsidRDefault="004A6B07" w:rsidP="004A6B07">
            <w:pPr>
              <w:pStyle w:val="CRCoverPage"/>
              <w:spacing w:after="0"/>
              <w:jc w:val="right"/>
              <w:rPr>
                <w:noProof/>
              </w:rPr>
            </w:pPr>
            <w:r w:rsidRPr="00634496">
              <w:rPr>
                <w:b/>
                <w:i/>
                <w:noProof/>
              </w:rPr>
              <w:t>Date:</w:t>
            </w:r>
          </w:p>
        </w:tc>
        <w:tc>
          <w:tcPr>
            <w:tcW w:w="2127" w:type="dxa"/>
            <w:tcBorders>
              <w:right w:val="single" w:sz="4" w:space="0" w:color="auto"/>
            </w:tcBorders>
            <w:shd w:val="pct30" w:color="FFFF00" w:fill="auto"/>
          </w:tcPr>
          <w:p w14:paraId="5749EB66" w14:textId="506D94C6" w:rsidR="004A6B07" w:rsidRPr="00634496" w:rsidRDefault="004A6B07" w:rsidP="004A6B07">
            <w:pPr>
              <w:pStyle w:val="CRCoverPage"/>
              <w:spacing w:after="0"/>
              <w:ind w:left="100"/>
              <w:rPr>
                <w:noProof/>
              </w:rPr>
            </w:pPr>
            <w:r w:rsidRPr="00634496">
              <w:t>20</w:t>
            </w:r>
            <w:r w:rsidR="00583397" w:rsidRPr="00634496">
              <w:t>20</w:t>
            </w:r>
            <w:r w:rsidRPr="00634496">
              <w:t>-</w:t>
            </w:r>
            <w:r w:rsidR="00634496" w:rsidRPr="00634496">
              <w:t>11-1</w:t>
            </w:r>
            <w:r w:rsidR="006A2FE9">
              <w:t>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634496" w:rsidRDefault="004A6B07" w:rsidP="004A6B07">
            <w:pPr>
              <w:pStyle w:val="CRCoverPage"/>
              <w:spacing w:after="0"/>
              <w:rPr>
                <w:noProof/>
                <w:sz w:val="8"/>
                <w:szCs w:val="8"/>
              </w:rPr>
            </w:pPr>
          </w:p>
        </w:tc>
        <w:tc>
          <w:tcPr>
            <w:tcW w:w="2267" w:type="dxa"/>
            <w:gridSpan w:val="2"/>
          </w:tcPr>
          <w:p w14:paraId="0C55F1F6" w14:textId="77777777" w:rsidR="004A6B07" w:rsidRPr="00634496" w:rsidRDefault="004A6B07" w:rsidP="004A6B07">
            <w:pPr>
              <w:pStyle w:val="CRCoverPage"/>
              <w:spacing w:after="0"/>
              <w:rPr>
                <w:noProof/>
                <w:sz w:val="8"/>
                <w:szCs w:val="8"/>
              </w:rPr>
            </w:pPr>
          </w:p>
        </w:tc>
        <w:tc>
          <w:tcPr>
            <w:tcW w:w="1417" w:type="dxa"/>
            <w:gridSpan w:val="3"/>
          </w:tcPr>
          <w:p w14:paraId="583024A9" w14:textId="77777777" w:rsidR="004A6B07" w:rsidRPr="00634496"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634496"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634496" w:rsidRDefault="004A6B07" w:rsidP="004A6B07">
            <w:pPr>
              <w:pStyle w:val="CRCoverPage"/>
              <w:spacing w:after="0"/>
              <w:ind w:left="100" w:right="-609"/>
              <w:rPr>
                <w:b/>
                <w:noProof/>
              </w:rPr>
            </w:pPr>
            <w:r w:rsidRPr="00634496">
              <w:rPr>
                <w:b/>
                <w:noProof/>
              </w:rPr>
              <w:fldChar w:fldCharType="begin"/>
            </w:r>
            <w:r w:rsidRPr="00634496">
              <w:rPr>
                <w:b/>
                <w:noProof/>
              </w:rPr>
              <w:instrText xml:space="preserve"> DOCPROPERTY  Cat  \* MERGEFORMAT </w:instrText>
            </w:r>
            <w:r w:rsidRPr="00634496">
              <w:rPr>
                <w:b/>
                <w:noProof/>
              </w:rPr>
              <w:fldChar w:fldCharType="separate"/>
            </w:r>
            <w:r w:rsidR="00F90CDC" w:rsidRPr="00634496">
              <w:rPr>
                <w:b/>
                <w:noProof/>
              </w:rPr>
              <w:t>F</w:t>
            </w:r>
            <w:r w:rsidRPr="00634496">
              <w:rPr>
                <w:b/>
                <w:noProof/>
              </w:rPr>
              <w:fldChar w:fldCharType="end"/>
            </w:r>
          </w:p>
        </w:tc>
        <w:tc>
          <w:tcPr>
            <w:tcW w:w="3402" w:type="dxa"/>
            <w:gridSpan w:val="5"/>
            <w:tcBorders>
              <w:left w:val="nil"/>
            </w:tcBorders>
          </w:tcPr>
          <w:p w14:paraId="34FBFE76" w14:textId="77777777" w:rsidR="004A6B07" w:rsidRPr="00634496" w:rsidRDefault="004A6B07" w:rsidP="004A6B07">
            <w:pPr>
              <w:pStyle w:val="CRCoverPage"/>
              <w:spacing w:after="0"/>
              <w:rPr>
                <w:noProof/>
              </w:rPr>
            </w:pPr>
          </w:p>
        </w:tc>
        <w:tc>
          <w:tcPr>
            <w:tcW w:w="1417" w:type="dxa"/>
            <w:gridSpan w:val="3"/>
            <w:tcBorders>
              <w:left w:val="nil"/>
            </w:tcBorders>
          </w:tcPr>
          <w:p w14:paraId="425DC065" w14:textId="77777777" w:rsidR="004A6B07" w:rsidRPr="00634496" w:rsidRDefault="004A6B07" w:rsidP="004A6B07">
            <w:pPr>
              <w:pStyle w:val="CRCoverPage"/>
              <w:spacing w:after="0"/>
              <w:jc w:val="right"/>
              <w:rPr>
                <w:b/>
                <w:i/>
                <w:noProof/>
              </w:rPr>
            </w:pPr>
            <w:r w:rsidRPr="00634496">
              <w:rPr>
                <w:b/>
                <w:i/>
                <w:noProof/>
              </w:rPr>
              <w:t>Release:</w:t>
            </w:r>
          </w:p>
        </w:tc>
        <w:tc>
          <w:tcPr>
            <w:tcW w:w="2127" w:type="dxa"/>
            <w:tcBorders>
              <w:right w:val="single" w:sz="4" w:space="0" w:color="auto"/>
            </w:tcBorders>
            <w:shd w:val="pct30" w:color="FFFF00" w:fill="auto"/>
          </w:tcPr>
          <w:p w14:paraId="21AAC021" w14:textId="6EF3CE1A" w:rsidR="004A6B07" w:rsidRPr="00634496" w:rsidRDefault="00D54688" w:rsidP="004A6B07">
            <w:pPr>
              <w:pStyle w:val="CRCoverPage"/>
              <w:spacing w:after="0"/>
              <w:ind w:left="100"/>
              <w:rPr>
                <w:noProof/>
              </w:rPr>
            </w:pPr>
            <w:r>
              <w:t>Rel</w:t>
            </w:r>
            <w:r w:rsidR="004A6B07" w:rsidRPr="00634496">
              <w:t>-1</w:t>
            </w:r>
            <w:r w:rsidR="00032243" w:rsidRPr="00634496">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5D424806" w:rsidR="004E318A" w:rsidRDefault="00C67130">
            <w:pPr>
              <w:pStyle w:val="CRCoverPage"/>
              <w:spacing w:after="0"/>
              <w:ind w:left="100"/>
              <w:rPr>
                <w:noProof/>
              </w:rPr>
            </w:pPr>
            <w:r>
              <w:rPr>
                <w:lang w:eastAsia="zh-CN"/>
              </w:rPr>
              <w:t>It is unclear in which MR-DC scenarios s</w:t>
            </w:r>
            <w:r w:rsidR="004E318A">
              <w:rPr>
                <w:lang w:eastAsia="zh-CN"/>
              </w:rPr>
              <w:t xml:space="preserve">econdary DRX </w:t>
            </w:r>
            <w:r w:rsidR="00B556EE">
              <w:rPr>
                <w:lang w:eastAsia="zh-CN"/>
              </w:rPr>
              <w:t>can be configured</w:t>
            </w:r>
            <w:r>
              <w:rPr>
                <w:lang w:eastAsia="zh-CN"/>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CBB28" w14:textId="4D8FF19E" w:rsidR="005B3634" w:rsidRPr="00197592" w:rsidRDefault="005B3634" w:rsidP="00C67130">
            <w:pPr>
              <w:pStyle w:val="CRCoverPage"/>
              <w:spacing w:after="0"/>
              <w:ind w:left="100"/>
              <w:rPr>
                <w:noProof/>
              </w:rPr>
            </w:pPr>
            <w:r w:rsidRPr="00060C42">
              <w:rPr>
                <w:noProof/>
              </w:rPr>
              <w:t>In section 6.1 it is clarified that a secondary DRX group can be configured in MR-DC for a cell group that includes</w:t>
            </w:r>
            <w:r w:rsidRPr="005B3634">
              <w:rPr>
                <w:noProof/>
              </w:rPr>
              <w:t xml:space="preserve"> cells in different Frequency Ranges</w:t>
            </w:r>
            <w:r w:rsidR="00C67130">
              <w:rPr>
                <w:noProof/>
              </w:rPr>
              <w:t>, i.e</w:t>
            </w:r>
            <w:r w:rsidR="00C67130">
              <w:rPr>
                <w:lang w:eastAsia="zh-CN"/>
              </w:rPr>
              <w:t xml:space="preserve">. </w:t>
            </w:r>
            <w:r w:rsidR="00C67130" w:rsidRPr="00962332">
              <w:rPr>
                <w:lang w:eastAsia="zh-CN"/>
              </w:rPr>
              <w:t xml:space="preserve">EN-DC, NGEN-DC, </w:t>
            </w:r>
            <w:r w:rsidR="00C67130" w:rsidRPr="00197592">
              <w:rPr>
                <w:lang w:eastAsia="zh-CN"/>
              </w:rPr>
              <w:t xml:space="preserve">NE-DC, NR-DC and Standalone. </w:t>
            </w:r>
            <w:r w:rsidR="00060C42" w:rsidRPr="00197592">
              <w:rPr>
                <w:noProof/>
              </w:rPr>
              <w:t xml:space="preserve"> </w:t>
            </w:r>
          </w:p>
          <w:p w14:paraId="1B9F59B5" w14:textId="77777777" w:rsidR="00F90CDC" w:rsidRPr="00197592" w:rsidRDefault="00F90CDC" w:rsidP="00F90CDC">
            <w:pPr>
              <w:pStyle w:val="CRCoverPage"/>
              <w:spacing w:after="0"/>
              <w:ind w:left="100"/>
              <w:rPr>
                <w:noProof/>
              </w:rPr>
            </w:pPr>
          </w:p>
          <w:p w14:paraId="4B413A23" w14:textId="77777777" w:rsidR="00F90CDC" w:rsidRPr="00197592" w:rsidRDefault="00F90CDC" w:rsidP="00F90CDC">
            <w:pPr>
              <w:pStyle w:val="CRCoverPage"/>
              <w:spacing w:after="0"/>
              <w:ind w:left="100"/>
              <w:rPr>
                <w:b/>
                <w:noProof/>
                <w:u w:val="single"/>
              </w:rPr>
            </w:pPr>
            <w:r w:rsidRPr="00197592">
              <w:rPr>
                <w:b/>
                <w:noProof/>
                <w:u w:val="single"/>
              </w:rPr>
              <w:t>Impact Analysis</w:t>
            </w:r>
          </w:p>
          <w:p w14:paraId="20603233" w14:textId="77777777" w:rsidR="00F90CDC" w:rsidRPr="00197592" w:rsidRDefault="00F90CDC" w:rsidP="00F90CDC">
            <w:pPr>
              <w:pStyle w:val="CRCoverPage"/>
              <w:spacing w:after="0"/>
              <w:ind w:left="100"/>
              <w:rPr>
                <w:noProof/>
              </w:rPr>
            </w:pPr>
          </w:p>
          <w:p w14:paraId="25728E12" w14:textId="26A90631" w:rsidR="00F90CDC" w:rsidRPr="00197592" w:rsidRDefault="00F90CDC" w:rsidP="00F90CDC">
            <w:pPr>
              <w:pStyle w:val="CRCoverPage"/>
              <w:spacing w:before="20" w:after="80"/>
              <w:ind w:left="100"/>
              <w:rPr>
                <w:u w:val="single"/>
                <w:lang w:eastAsia="en-GB"/>
              </w:rPr>
            </w:pPr>
            <w:r w:rsidRPr="00197592">
              <w:rPr>
                <w:b/>
                <w:bCs/>
                <w:u w:val="single"/>
              </w:rPr>
              <w:t>Impacted 5G architecture options:</w:t>
            </w:r>
            <w:r w:rsidRPr="00197592">
              <w:t xml:space="preserve"> </w:t>
            </w:r>
            <w:r w:rsidR="00060C42" w:rsidRPr="00197592">
              <w:t>MR-DC</w:t>
            </w:r>
          </w:p>
          <w:p w14:paraId="36C0FD37" w14:textId="77777777" w:rsidR="00F90CDC" w:rsidRPr="00197592" w:rsidRDefault="00F90CDC" w:rsidP="00F90CDC">
            <w:pPr>
              <w:pStyle w:val="CRCoverPage"/>
              <w:spacing w:after="0"/>
              <w:ind w:left="100"/>
              <w:rPr>
                <w:noProof/>
              </w:rPr>
            </w:pPr>
          </w:p>
          <w:p w14:paraId="24BEF50F" w14:textId="77777777" w:rsidR="00F90CDC" w:rsidRPr="00197592" w:rsidRDefault="00F90CDC" w:rsidP="00F90CDC">
            <w:pPr>
              <w:pStyle w:val="CRCoverPage"/>
              <w:spacing w:after="0"/>
              <w:ind w:left="100"/>
              <w:rPr>
                <w:noProof/>
                <w:u w:val="single"/>
              </w:rPr>
            </w:pPr>
            <w:r w:rsidRPr="00197592">
              <w:rPr>
                <w:noProof/>
                <w:u w:val="single"/>
              </w:rPr>
              <w:t>Impacted functionality:</w:t>
            </w:r>
          </w:p>
          <w:p w14:paraId="4CCBFE44" w14:textId="132D1BD9" w:rsidR="00F90CDC" w:rsidRPr="00197592" w:rsidRDefault="00060C42" w:rsidP="00F90CDC">
            <w:pPr>
              <w:pStyle w:val="CRCoverPage"/>
              <w:spacing w:after="0"/>
              <w:ind w:left="100"/>
              <w:rPr>
                <w:noProof/>
              </w:rPr>
            </w:pPr>
            <w:r w:rsidRPr="00197592">
              <w:rPr>
                <w:noProof/>
              </w:rPr>
              <w:t>Secondary DRX</w:t>
            </w:r>
          </w:p>
          <w:p w14:paraId="48E64AEC" w14:textId="77777777" w:rsidR="00F90CDC" w:rsidRPr="00197592" w:rsidRDefault="00F90CDC" w:rsidP="00F90CDC">
            <w:pPr>
              <w:pStyle w:val="CRCoverPage"/>
              <w:spacing w:after="0"/>
              <w:ind w:left="100"/>
              <w:rPr>
                <w:noProof/>
              </w:rPr>
            </w:pPr>
          </w:p>
          <w:p w14:paraId="45D51FDE" w14:textId="77777777" w:rsidR="00F90CDC" w:rsidRPr="00197592" w:rsidRDefault="00F90CDC" w:rsidP="00F90CDC">
            <w:pPr>
              <w:pStyle w:val="CRCoverPage"/>
              <w:spacing w:after="0"/>
              <w:ind w:left="100"/>
              <w:rPr>
                <w:noProof/>
                <w:u w:val="single"/>
              </w:rPr>
            </w:pPr>
            <w:r w:rsidRPr="00197592">
              <w:rPr>
                <w:noProof/>
                <w:u w:val="single"/>
              </w:rPr>
              <w:t>Inter-operability:</w:t>
            </w:r>
          </w:p>
          <w:p w14:paraId="1C346337" w14:textId="6FB46DBB" w:rsidR="00F90CDC" w:rsidRPr="00197592" w:rsidRDefault="00F90CDC" w:rsidP="00F90CDC">
            <w:pPr>
              <w:pStyle w:val="CRCoverPage"/>
              <w:spacing w:after="0"/>
              <w:ind w:left="100"/>
              <w:rPr>
                <w:noProof/>
              </w:rPr>
            </w:pPr>
            <w:r w:rsidRPr="00197592">
              <w:rPr>
                <w:noProof/>
              </w:rPr>
              <w:t xml:space="preserve">1. If the NW is implemented according to the CR but the UE is not then </w:t>
            </w:r>
            <w:r w:rsidR="00197592" w:rsidRPr="00197592">
              <w:rPr>
                <w:noProof/>
              </w:rPr>
              <w:t>the NW may not be able to configure secondary DRX in case of MR-DC</w:t>
            </w:r>
            <w:r w:rsidRPr="00197592">
              <w:rPr>
                <w:noProof/>
              </w:rPr>
              <w:t>.</w:t>
            </w:r>
          </w:p>
          <w:p w14:paraId="20CEE71C" w14:textId="77777777" w:rsidR="00F90CDC" w:rsidRPr="00197592" w:rsidRDefault="00F90CDC" w:rsidP="00F90CDC">
            <w:pPr>
              <w:pStyle w:val="CRCoverPage"/>
              <w:spacing w:after="0"/>
              <w:ind w:left="100"/>
              <w:rPr>
                <w:noProof/>
              </w:rPr>
            </w:pPr>
            <w:r w:rsidRPr="00197592">
              <w:rPr>
                <w:noProof/>
              </w:rPr>
              <w:t xml:space="preserve"> </w:t>
            </w:r>
          </w:p>
          <w:p w14:paraId="3C84E481" w14:textId="77777777" w:rsidR="00F90CDC" w:rsidRDefault="00F90CDC" w:rsidP="00F90CDC">
            <w:pPr>
              <w:pStyle w:val="CRCoverPage"/>
              <w:spacing w:after="0"/>
              <w:ind w:left="100"/>
              <w:rPr>
                <w:noProof/>
              </w:rPr>
            </w:pPr>
            <w:r w:rsidRPr="00197592">
              <w:rPr>
                <w:noProof/>
              </w:rPr>
              <w:t>2. If the UE is implemented according to the CR but the NW is not then</w:t>
            </w:r>
            <w:r w:rsidRPr="00197592">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0C22409A" w:rsidR="001E41F3" w:rsidRDefault="00197592">
            <w:pPr>
              <w:pStyle w:val="CRCoverPage"/>
              <w:spacing w:after="0"/>
              <w:ind w:left="100"/>
              <w:rPr>
                <w:noProof/>
              </w:rPr>
            </w:pPr>
            <w:r>
              <w:rPr>
                <w:noProof/>
              </w:rPr>
              <w:t>Ambiguity remains in which MR-DC scenarios the NW can configure secondary DRX</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8FBABC2" w:rsidR="001E41F3" w:rsidRDefault="00197592">
            <w:pPr>
              <w:pStyle w:val="CRCoverPage"/>
              <w:spacing w:after="0"/>
              <w:ind w:left="100"/>
              <w:rPr>
                <w:noProof/>
              </w:rPr>
            </w:pPr>
            <w:r>
              <w:rPr>
                <w:noProof/>
              </w:rPr>
              <w:t>6.1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E39776D" w14:textId="77777777" w:rsidR="00634496" w:rsidRPr="00857FCF" w:rsidRDefault="00634496" w:rsidP="00634496">
      <w:pPr>
        <w:pStyle w:val="Heading2"/>
      </w:pPr>
      <w:bookmarkStart w:id="2" w:name="_Toc29248335"/>
      <w:bookmarkStart w:id="3" w:name="_Toc37200919"/>
      <w:bookmarkStart w:id="4" w:name="_Toc46492785"/>
      <w:bookmarkStart w:id="5" w:name="_Toc52568311"/>
      <w:r w:rsidRPr="00857FCF">
        <w:t>6.1</w:t>
      </w:r>
      <w:r w:rsidRPr="00857FCF">
        <w:tab/>
        <w:t>MAC Sublayer</w:t>
      </w:r>
      <w:bookmarkEnd w:id="2"/>
      <w:bookmarkEnd w:id="3"/>
      <w:bookmarkEnd w:id="4"/>
      <w:bookmarkEnd w:id="5"/>
    </w:p>
    <w:p w14:paraId="2DA789FC" w14:textId="77777777" w:rsidR="00634496" w:rsidRPr="00857FCF" w:rsidRDefault="00634496" w:rsidP="00634496">
      <w:pPr>
        <w:rPr>
          <w:lang w:eastAsia="zh-CN"/>
        </w:rPr>
      </w:pPr>
      <w:r w:rsidRPr="00857FCF">
        <w:rPr>
          <w:lang w:eastAsia="zh-CN"/>
        </w:rPr>
        <w:t xml:space="preserve">In MR-DC, the UE is configured with two MAC entities: one MAC entity for the MCG and one MAC entity for the SCG. The serving cells of the MCG other than the </w:t>
      </w:r>
      <w:proofErr w:type="spellStart"/>
      <w:r w:rsidRPr="00857FCF">
        <w:rPr>
          <w:lang w:eastAsia="zh-CN"/>
        </w:rPr>
        <w:t>PCell</w:t>
      </w:r>
      <w:proofErr w:type="spellEnd"/>
      <w:r w:rsidRPr="00857FCF">
        <w:rPr>
          <w:lang w:eastAsia="zh-CN"/>
        </w:rPr>
        <w:t xml:space="preserve"> can only be activated/deactivated by the MAC Control Element received on MCG, and the serving cells of the SCG other than </w:t>
      </w:r>
      <w:proofErr w:type="spellStart"/>
      <w:r w:rsidRPr="00857FCF">
        <w:rPr>
          <w:lang w:eastAsia="zh-CN"/>
        </w:rPr>
        <w:t>PSCell</w:t>
      </w:r>
      <w:proofErr w:type="spellEnd"/>
      <w:r w:rsidRPr="00857FCF">
        <w:rPr>
          <w:lang w:eastAsia="zh-CN"/>
        </w:rPr>
        <w:t xml:space="preserve"> can only be activated/ deactivated by the MAC Control Element received on SCG. The MAC entity applies the bitmap for the associated cells of either MCG or SCG. </w:t>
      </w:r>
      <w:proofErr w:type="spellStart"/>
      <w:r w:rsidRPr="00857FCF">
        <w:rPr>
          <w:lang w:eastAsia="zh-CN"/>
        </w:rPr>
        <w:t>PSCell</w:t>
      </w:r>
      <w:proofErr w:type="spellEnd"/>
      <w:r w:rsidRPr="00857FCF">
        <w:rPr>
          <w:lang w:eastAsia="zh-CN"/>
        </w:rPr>
        <w:t xml:space="preserve"> in SCG is always activated like the </w:t>
      </w:r>
      <w:proofErr w:type="spellStart"/>
      <w:r w:rsidRPr="00857FCF">
        <w:rPr>
          <w:lang w:eastAsia="zh-CN"/>
        </w:rPr>
        <w:t>PCell</w:t>
      </w:r>
      <w:proofErr w:type="spellEnd"/>
      <w:r w:rsidRPr="00857FCF">
        <w:rPr>
          <w:lang w:eastAsia="zh-CN"/>
        </w:rPr>
        <w:t xml:space="preserve"> (i.e. deactivation timer is not applied to </w:t>
      </w:r>
      <w:proofErr w:type="spellStart"/>
      <w:r w:rsidRPr="00857FCF">
        <w:rPr>
          <w:lang w:eastAsia="zh-CN"/>
        </w:rPr>
        <w:t>PSCell</w:t>
      </w:r>
      <w:proofErr w:type="spellEnd"/>
      <w:r w:rsidRPr="00857FCF">
        <w:rPr>
          <w:lang w:eastAsia="zh-CN"/>
        </w:rPr>
        <w:t>). With the exception of PUCCH SCell, one deactivation timer is configured per SCell by RRC.</w:t>
      </w:r>
    </w:p>
    <w:p w14:paraId="0F6545EB" w14:textId="77777777" w:rsidR="00634496" w:rsidRPr="00857FCF" w:rsidRDefault="00634496" w:rsidP="00634496">
      <w:r w:rsidRPr="00857FCF">
        <w:t>In MR-DC, semi-persistent scheduling (SPS) resources and configured grant (CG) resources can be configured on serving cells in both MCG and SCG.</w:t>
      </w:r>
    </w:p>
    <w:p w14:paraId="3B37F2C8" w14:textId="77777777" w:rsidR="00634496" w:rsidRPr="00857FCF" w:rsidRDefault="00634496" w:rsidP="00634496">
      <w:r w:rsidRPr="00857FCF">
        <w:t xml:space="preserve">In MR-DC, contention based random access (CBRA) procedure is supported on both </w:t>
      </w:r>
      <w:proofErr w:type="spellStart"/>
      <w:r w:rsidRPr="00857FCF">
        <w:t>PCell</w:t>
      </w:r>
      <w:proofErr w:type="spellEnd"/>
      <w:r w:rsidRPr="00857FCF">
        <w:t xml:space="preserve"> and </w:t>
      </w:r>
      <w:proofErr w:type="spellStart"/>
      <w:r w:rsidRPr="00857FCF">
        <w:t>PSCell</w:t>
      </w:r>
      <w:proofErr w:type="spellEnd"/>
      <w:r w:rsidRPr="00857FCF">
        <w:t xml:space="preserve"> while contention free random access (CFRA) procedure is supported on all serving cells in both MCG and SCG.</w:t>
      </w:r>
    </w:p>
    <w:p w14:paraId="6C69B526" w14:textId="77777777" w:rsidR="00634496" w:rsidRPr="00857FCF" w:rsidRDefault="00634496" w:rsidP="00634496">
      <w:r w:rsidRPr="00857FCF">
        <w:t>In MR-DC, the BSR configuration, triggering and reporting are independently performed per cell group. For split bearers, the PDCP data is considered in BSR in the cell group(s) configured by RRC.</w:t>
      </w:r>
    </w:p>
    <w:p w14:paraId="2E57727C" w14:textId="7F15FEAA" w:rsidR="00634496" w:rsidRPr="00857FCF" w:rsidRDefault="00634496" w:rsidP="00634496">
      <w:r w:rsidRPr="00857FCF">
        <w:t>In MR-DC, separate DRX configurations are provided for MCG and SCG.</w:t>
      </w:r>
      <w:ins w:id="6" w:author="Ericsson" w:date="2020-11-10T09:58:00Z">
        <w:r>
          <w:t xml:space="preserve"> A secondary DRX group can be configured in MR-DC for a cell group that includes cells in different Frequency Ranges </w:t>
        </w:r>
        <w:r w:rsidRPr="00552292">
          <w:t>as specified in TS 38.331 [4]</w:t>
        </w:r>
        <w:r>
          <w:t>.</w:t>
        </w:r>
      </w:ins>
    </w:p>
    <w:p w14:paraId="6BCFC64D" w14:textId="77777777" w:rsidR="00634496" w:rsidRPr="00857FCF" w:rsidRDefault="00634496" w:rsidP="00634496">
      <w:bookmarkStart w:id="7" w:name="_Hlk37110019"/>
      <w:r w:rsidRPr="00857FCF">
        <w:t>In MR-DC, PHR is independently configured per cell group. Events in one cell group can trigger power headroom reporting in both MCG and SCG. Power headroom information for one cell group is also included in a PHR transmitted in the other cell group.</w:t>
      </w:r>
    </w:p>
    <w:p w14:paraId="1CF76E36" w14:textId="77777777" w:rsidR="00634496" w:rsidRPr="00857FCF" w:rsidRDefault="00634496" w:rsidP="00634496">
      <w:r w:rsidRPr="00857FCF">
        <w:t>In MR-DC, consistent LBT failure recovery procedure as described in clause 5.6.1 in TS 38.300 [3] can be configured for both MAC entities of MCG and/or SCG when operating with shared spectrum channel access.</w:t>
      </w:r>
    </w:p>
    <w:bookmarkEnd w:id="7"/>
    <w:p w14:paraId="5B4BD95E" w14:textId="77777777" w:rsidR="00634496" w:rsidRPr="00857FCF" w:rsidRDefault="00634496" w:rsidP="00634496">
      <w:pPr>
        <w:rPr>
          <w:noProof/>
        </w:rPr>
      </w:pPr>
      <w:r w:rsidRPr="00857FCF">
        <w:t xml:space="preserve">In MR-DC, for power saving purpose, the UE can be configured with </w:t>
      </w:r>
      <w:r w:rsidRPr="00857FCF">
        <w:rPr>
          <w:lang w:eastAsia="zh-CN"/>
        </w:rPr>
        <w:t>DCP</w:t>
      </w:r>
      <w:r w:rsidRPr="00857FCF">
        <w:t xml:space="preserve"> to be monitored on the </w:t>
      </w:r>
      <w:proofErr w:type="spellStart"/>
      <w:r w:rsidRPr="00857FCF">
        <w:t>PCell</w:t>
      </w:r>
      <w:proofErr w:type="spellEnd"/>
      <w:r w:rsidRPr="00857FCF">
        <w:t xml:space="preserve">, if the MN is a gNB (i.e. for NE-DC and NR-DC) and/or with </w:t>
      </w:r>
      <w:r w:rsidRPr="00857FCF">
        <w:rPr>
          <w:lang w:eastAsia="zh-CN"/>
        </w:rPr>
        <w:t xml:space="preserve">DCP </w:t>
      </w:r>
      <w:r w:rsidRPr="00857FCF">
        <w:t xml:space="preserve">to be monitored on the </w:t>
      </w:r>
      <w:proofErr w:type="spellStart"/>
      <w:r w:rsidRPr="00857FCF">
        <w:t>PSCell</w:t>
      </w:r>
      <w:proofErr w:type="spellEnd"/>
      <w:r w:rsidRPr="00857FCF">
        <w:t>, if the SN is a gNB (i.e. for EN-DC, NGEN-DC and NR-DC).</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3"/>
    <w:rsid w:val="00060C42"/>
    <w:rsid w:val="000A6394"/>
    <w:rsid w:val="000B2FE4"/>
    <w:rsid w:val="000B7FED"/>
    <w:rsid w:val="000C038A"/>
    <w:rsid w:val="000C09BD"/>
    <w:rsid w:val="000C6598"/>
    <w:rsid w:val="000E19EC"/>
    <w:rsid w:val="00145D43"/>
    <w:rsid w:val="00192C46"/>
    <w:rsid w:val="00197592"/>
    <w:rsid w:val="001A08B3"/>
    <w:rsid w:val="001A7B60"/>
    <w:rsid w:val="001B52F0"/>
    <w:rsid w:val="001B7A65"/>
    <w:rsid w:val="001E41F3"/>
    <w:rsid w:val="0026004D"/>
    <w:rsid w:val="002640DD"/>
    <w:rsid w:val="00275D12"/>
    <w:rsid w:val="0028106E"/>
    <w:rsid w:val="00284FEB"/>
    <w:rsid w:val="002860C4"/>
    <w:rsid w:val="00287BB9"/>
    <w:rsid w:val="002A251B"/>
    <w:rsid w:val="002B5741"/>
    <w:rsid w:val="002F0B94"/>
    <w:rsid w:val="00305409"/>
    <w:rsid w:val="00334F3C"/>
    <w:rsid w:val="003609EF"/>
    <w:rsid w:val="0036231A"/>
    <w:rsid w:val="00374DD4"/>
    <w:rsid w:val="00390E06"/>
    <w:rsid w:val="003B524D"/>
    <w:rsid w:val="003E1A36"/>
    <w:rsid w:val="003E43C0"/>
    <w:rsid w:val="00410371"/>
    <w:rsid w:val="004242F1"/>
    <w:rsid w:val="0046766F"/>
    <w:rsid w:val="004752B6"/>
    <w:rsid w:val="004A6B07"/>
    <w:rsid w:val="004B75B7"/>
    <w:rsid w:val="004E318A"/>
    <w:rsid w:val="0051580D"/>
    <w:rsid w:val="00520980"/>
    <w:rsid w:val="00544497"/>
    <w:rsid w:val="00547111"/>
    <w:rsid w:val="00553D41"/>
    <w:rsid w:val="00574961"/>
    <w:rsid w:val="00577F1C"/>
    <w:rsid w:val="00583397"/>
    <w:rsid w:val="00592D74"/>
    <w:rsid w:val="005B3634"/>
    <w:rsid w:val="005E2C44"/>
    <w:rsid w:val="00621188"/>
    <w:rsid w:val="00622BD9"/>
    <w:rsid w:val="006257ED"/>
    <w:rsid w:val="00634496"/>
    <w:rsid w:val="0064056C"/>
    <w:rsid w:val="00644474"/>
    <w:rsid w:val="00672707"/>
    <w:rsid w:val="00695808"/>
    <w:rsid w:val="006A2FE9"/>
    <w:rsid w:val="006B46FB"/>
    <w:rsid w:val="006C052E"/>
    <w:rsid w:val="006E21FB"/>
    <w:rsid w:val="006F2027"/>
    <w:rsid w:val="0070121D"/>
    <w:rsid w:val="00753DE3"/>
    <w:rsid w:val="00792342"/>
    <w:rsid w:val="007977A8"/>
    <w:rsid w:val="007B512A"/>
    <w:rsid w:val="007C2097"/>
    <w:rsid w:val="007D6A07"/>
    <w:rsid w:val="007E716F"/>
    <w:rsid w:val="007F123C"/>
    <w:rsid w:val="007F7259"/>
    <w:rsid w:val="008040A8"/>
    <w:rsid w:val="008055D2"/>
    <w:rsid w:val="008279FA"/>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A5753"/>
    <w:rsid w:val="009A579D"/>
    <w:rsid w:val="009E3297"/>
    <w:rsid w:val="009F3ECA"/>
    <w:rsid w:val="009F734F"/>
    <w:rsid w:val="00A246B6"/>
    <w:rsid w:val="00A47E70"/>
    <w:rsid w:val="00A50CF0"/>
    <w:rsid w:val="00A7671C"/>
    <w:rsid w:val="00A86724"/>
    <w:rsid w:val="00AA2CBC"/>
    <w:rsid w:val="00AC5820"/>
    <w:rsid w:val="00AD1CD8"/>
    <w:rsid w:val="00B02B2C"/>
    <w:rsid w:val="00B21FFF"/>
    <w:rsid w:val="00B258BB"/>
    <w:rsid w:val="00B556EE"/>
    <w:rsid w:val="00B67B97"/>
    <w:rsid w:val="00B968C8"/>
    <w:rsid w:val="00BA3EC5"/>
    <w:rsid w:val="00BA51D9"/>
    <w:rsid w:val="00BB5DFC"/>
    <w:rsid w:val="00BD279D"/>
    <w:rsid w:val="00BD6BB8"/>
    <w:rsid w:val="00C023FA"/>
    <w:rsid w:val="00C66BA2"/>
    <w:rsid w:val="00C67130"/>
    <w:rsid w:val="00C95985"/>
    <w:rsid w:val="00CA7D5A"/>
    <w:rsid w:val="00CC5026"/>
    <w:rsid w:val="00CC68D0"/>
    <w:rsid w:val="00D03F9A"/>
    <w:rsid w:val="00D06D51"/>
    <w:rsid w:val="00D24991"/>
    <w:rsid w:val="00D34D8D"/>
    <w:rsid w:val="00D50255"/>
    <w:rsid w:val="00D54688"/>
    <w:rsid w:val="00D66520"/>
    <w:rsid w:val="00DC6036"/>
    <w:rsid w:val="00DD3503"/>
    <w:rsid w:val="00DE34CF"/>
    <w:rsid w:val="00E13F3D"/>
    <w:rsid w:val="00E34898"/>
    <w:rsid w:val="00EB0523"/>
    <w:rsid w:val="00EB09B7"/>
    <w:rsid w:val="00EE7D7C"/>
    <w:rsid w:val="00F25D98"/>
    <w:rsid w:val="00F300FB"/>
    <w:rsid w:val="00F46021"/>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A7178-90AC-4639-B3AD-D499C4349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676</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2020-11-12T11:54:00Z</dcterms:created>
  <dcterms:modified xsi:type="dcterms:W3CDTF">2020-11-12T11:54:00Z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